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B99" w:rsidRPr="00062B81" w:rsidRDefault="00554B99" w:rsidP="00554B99">
      <w:pPr>
        <w:tabs>
          <w:tab w:val="left" w:pos="709"/>
        </w:tabs>
        <w:spacing w:before="100" w:beforeAutospacing="1" w:after="100" w:afterAutospacing="1"/>
        <w:ind w:right="-284"/>
        <w:contextualSpacing/>
        <w:jc w:val="center"/>
        <w:rPr>
          <w:rFonts w:ascii="Times New Roman" w:hAnsi="Times New Roman" w:cs="Times New Roman"/>
          <w:b/>
          <w:i/>
          <w:sz w:val="26"/>
          <w:szCs w:val="26"/>
        </w:rPr>
      </w:pPr>
      <w:r w:rsidRPr="00062B81">
        <w:rPr>
          <w:rFonts w:ascii="Times New Roman" w:hAnsi="Times New Roman" w:cs="Times New Roman"/>
          <w:b/>
          <w:i/>
          <w:sz w:val="26"/>
          <w:szCs w:val="26"/>
        </w:rPr>
        <w:t>ДОКЛАД НА ТЕМУ</w:t>
      </w:r>
    </w:p>
    <w:p w:rsidR="00554B99" w:rsidRPr="00062B81" w:rsidRDefault="00554B99" w:rsidP="00554B99">
      <w:pPr>
        <w:tabs>
          <w:tab w:val="left" w:pos="709"/>
        </w:tabs>
        <w:spacing w:before="100" w:beforeAutospacing="1" w:after="100" w:afterAutospacing="1"/>
        <w:ind w:right="-284"/>
        <w:contextualSpacing/>
        <w:jc w:val="center"/>
        <w:rPr>
          <w:rFonts w:ascii="Times New Roman" w:hAnsi="Times New Roman" w:cs="Times New Roman"/>
          <w:b/>
          <w:i/>
          <w:sz w:val="26"/>
          <w:szCs w:val="26"/>
        </w:rPr>
      </w:pPr>
    </w:p>
    <w:p w:rsidR="0050305B" w:rsidRPr="006058D6" w:rsidRDefault="00554B99" w:rsidP="006058D6">
      <w:pPr>
        <w:ind w:right="34"/>
        <w:jc w:val="center"/>
        <w:rPr>
          <w:rFonts w:ascii="Times New Roman" w:hAnsi="Times New Roman" w:cs="Times New Roman"/>
          <w:b/>
          <w:bCs/>
          <w:i/>
          <w:sz w:val="26"/>
          <w:szCs w:val="26"/>
        </w:rPr>
      </w:pPr>
      <w:r w:rsidRPr="006058D6">
        <w:rPr>
          <w:rFonts w:ascii="Times New Roman" w:hAnsi="Times New Roman" w:cs="Times New Roman"/>
          <w:b/>
          <w:i/>
          <w:sz w:val="26"/>
          <w:szCs w:val="26"/>
        </w:rPr>
        <w:t>«</w:t>
      </w:r>
      <w:r w:rsidR="0050305B" w:rsidRPr="006058D6">
        <w:rPr>
          <w:rFonts w:ascii="Times New Roman" w:hAnsi="Times New Roman" w:cs="Times New Roman"/>
          <w:b/>
          <w:bCs/>
          <w:i/>
          <w:sz w:val="26"/>
          <w:szCs w:val="26"/>
        </w:rPr>
        <w:t>Изменения государственного регулирования тарифов в сфере электроэнергетики</w:t>
      </w:r>
      <w:r w:rsidR="0050305B" w:rsidRPr="006058D6">
        <w:rPr>
          <w:rFonts w:ascii="Times New Roman" w:hAnsi="Times New Roman" w:cs="Times New Roman"/>
          <w:b/>
          <w:bCs/>
          <w:i/>
          <w:sz w:val="26"/>
          <w:szCs w:val="26"/>
        </w:rPr>
        <w:t>»</w:t>
      </w:r>
    </w:p>
    <w:p w:rsidR="00554B99" w:rsidRPr="006058D6" w:rsidRDefault="00554B99" w:rsidP="0050305B">
      <w:pPr>
        <w:tabs>
          <w:tab w:val="left" w:pos="709"/>
        </w:tabs>
        <w:spacing w:before="100" w:beforeAutospacing="1" w:after="100" w:afterAutospacing="1"/>
        <w:ind w:right="-284"/>
        <w:contextualSpacing/>
        <w:jc w:val="center"/>
        <w:rPr>
          <w:rFonts w:ascii="Times New Roman" w:hAnsi="Times New Roman" w:cs="Times New Roman"/>
          <w:b/>
          <w:i/>
          <w:sz w:val="26"/>
          <w:szCs w:val="26"/>
        </w:rPr>
      </w:pPr>
    </w:p>
    <w:p w:rsidR="00554B99" w:rsidRPr="006058D6" w:rsidRDefault="00554B99" w:rsidP="00554B99">
      <w:pPr>
        <w:tabs>
          <w:tab w:val="left" w:pos="709"/>
        </w:tabs>
        <w:spacing w:before="100" w:beforeAutospacing="1" w:after="100" w:afterAutospacing="1"/>
        <w:ind w:right="-284"/>
        <w:contextualSpacing/>
        <w:jc w:val="center"/>
        <w:rPr>
          <w:rFonts w:ascii="Times New Roman" w:hAnsi="Times New Roman" w:cs="Times New Roman"/>
          <w:b/>
          <w:i/>
          <w:sz w:val="26"/>
          <w:szCs w:val="26"/>
        </w:rPr>
      </w:pPr>
      <w:r w:rsidRPr="006058D6">
        <w:rPr>
          <w:rFonts w:ascii="Times New Roman" w:hAnsi="Times New Roman" w:cs="Times New Roman"/>
          <w:b/>
          <w:i/>
          <w:sz w:val="26"/>
          <w:szCs w:val="26"/>
        </w:rPr>
        <w:t xml:space="preserve">Докладчик – </w:t>
      </w:r>
      <w:r w:rsidR="0050305B" w:rsidRPr="006058D6">
        <w:rPr>
          <w:rFonts w:ascii="Times New Roman" w:hAnsi="Times New Roman" w:cs="Times New Roman"/>
          <w:b/>
          <w:i/>
          <w:sz w:val="26"/>
          <w:szCs w:val="26"/>
        </w:rPr>
        <w:t>начальник отдела тарифов и цен в сфере электроэнергетики и газоснабжения управления государственной экспертизы тарифов в сфере электроэнергетики, газоснабжения и на потребительском рынке РСТ Нижегородской области</w:t>
      </w:r>
      <w:r w:rsidR="0050305B" w:rsidRPr="006058D6">
        <w:rPr>
          <w:rFonts w:ascii="Times New Roman" w:hAnsi="Times New Roman" w:cs="Times New Roman"/>
          <w:b/>
          <w:i/>
          <w:sz w:val="26"/>
          <w:szCs w:val="26"/>
        </w:rPr>
        <w:t xml:space="preserve"> Киреева Олеся Викторовна</w:t>
      </w:r>
    </w:p>
    <w:p w:rsidR="0050305B" w:rsidRPr="00062B81" w:rsidRDefault="0050305B" w:rsidP="00554B99">
      <w:pPr>
        <w:tabs>
          <w:tab w:val="left" w:pos="709"/>
        </w:tabs>
        <w:spacing w:before="100" w:beforeAutospacing="1" w:after="100" w:afterAutospacing="1"/>
        <w:ind w:right="-284"/>
        <w:contextualSpacing/>
        <w:jc w:val="center"/>
        <w:rPr>
          <w:rFonts w:ascii="Times New Roman" w:hAnsi="Times New Roman" w:cs="Times New Roman"/>
          <w:b/>
          <w:i/>
          <w:sz w:val="26"/>
          <w:szCs w:val="26"/>
        </w:rPr>
      </w:pPr>
    </w:p>
    <w:p w:rsidR="000C388E" w:rsidRPr="00554B99" w:rsidRDefault="000C388E" w:rsidP="00554B99">
      <w:pPr>
        <w:autoSpaceDE w:val="0"/>
        <w:autoSpaceDN w:val="0"/>
        <w:adjustRightInd w:val="0"/>
        <w:spacing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Постановлением Правительства РФ от 23.10.2025 N 1635 внесены изменения в некоторые акты Правительства Российской Федерации по вопросу установления и применения эталонов затрат территориальных сетевых организаций. </w:t>
      </w:r>
    </w:p>
    <w:p w:rsidR="000C388E" w:rsidRPr="00554B99" w:rsidRDefault="000C388E" w:rsidP="00554B99">
      <w:pPr>
        <w:autoSpaceDE w:val="0"/>
        <w:autoSpaceDN w:val="0"/>
        <w:adjustRightInd w:val="0"/>
        <w:spacing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Таким образом, регулирующим органам при установлении (пересмотре) на </w:t>
      </w:r>
      <w:r w:rsidR="00554B99">
        <w:rPr>
          <w:rFonts w:ascii="Times New Roman" w:hAnsi="Times New Roman" w:cs="Times New Roman"/>
          <w:sz w:val="26"/>
          <w:szCs w:val="26"/>
        </w:rPr>
        <w:t xml:space="preserve">                 </w:t>
      </w:r>
      <w:r w:rsidRPr="00554B99">
        <w:rPr>
          <w:rFonts w:ascii="Times New Roman" w:hAnsi="Times New Roman" w:cs="Times New Roman"/>
          <w:sz w:val="26"/>
          <w:szCs w:val="26"/>
        </w:rPr>
        <w:t>2026 год и последующие периоды регулирования цен (тарифов) на услуги по передаче электрической энергии по электрическим сетям необходимо учитывать операционные (подконтрольные) расходы, определенные с применением эталонов затрат территориальных сетевых организаций.</w:t>
      </w:r>
    </w:p>
    <w:p w:rsidR="008A4AA2" w:rsidRPr="00554B99" w:rsidRDefault="008A4AA2" w:rsidP="00554B99">
      <w:pPr>
        <w:autoSpaceDE w:val="0"/>
        <w:autoSpaceDN w:val="0"/>
        <w:adjustRightInd w:val="0"/>
        <w:spacing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При установлении (пересмотре) цен (тарифов) на услуги по передаче электрической энергии по электрическим сетям</w:t>
      </w:r>
      <w:r w:rsidR="005654AB" w:rsidRPr="00554B99">
        <w:rPr>
          <w:rFonts w:ascii="Times New Roman" w:hAnsi="Times New Roman" w:cs="Times New Roman"/>
          <w:sz w:val="26"/>
          <w:szCs w:val="26"/>
        </w:rPr>
        <w:t xml:space="preserve"> на 2026 и 2027 годы</w:t>
      </w:r>
      <w:r w:rsidRPr="00554B99">
        <w:rPr>
          <w:rFonts w:ascii="Times New Roman" w:hAnsi="Times New Roman" w:cs="Times New Roman"/>
          <w:sz w:val="26"/>
          <w:szCs w:val="26"/>
        </w:rPr>
        <w:t>, операционные (подконтрольные) расходы территориальных сетевых организаций определяются как сумма:</w:t>
      </w:r>
    </w:p>
    <w:p w:rsidR="00BD1FFD" w:rsidRDefault="008A4AA2" w:rsidP="00554B99">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доли операционных (подконтрольных) расходов, рассчитанных с применением эталонов затрат территориальных сетевых организаций (соответственно на 2026 год - 30 процентов, на 2027 год - 70 процентов)</w:t>
      </w:r>
      <w:r w:rsidR="00BD1FFD">
        <w:rPr>
          <w:rFonts w:ascii="Times New Roman" w:hAnsi="Times New Roman" w:cs="Times New Roman"/>
          <w:sz w:val="26"/>
          <w:szCs w:val="26"/>
        </w:rPr>
        <w:t>;</w:t>
      </w:r>
    </w:p>
    <w:p w:rsidR="00BD1FFD" w:rsidRDefault="008A4AA2" w:rsidP="00554B99">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доли операционных (подконтрольных) расходов (соответственно на 2026 год - 70 процентов, на 2027 год - 30 процентов)</w:t>
      </w:r>
      <w:r w:rsidR="003B400B">
        <w:rPr>
          <w:rFonts w:ascii="Times New Roman" w:hAnsi="Times New Roman" w:cs="Times New Roman"/>
          <w:sz w:val="26"/>
          <w:szCs w:val="26"/>
        </w:rPr>
        <w:t xml:space="preserve">, </w:t>
      </w:r>
      <w:bookmarkStart w:id="0" w:name="Par3"/>
      <w:bookmarkEnd w:id="0"/>
      <w:r w:rsidRPr="00554B99">
        <w:rPr>
          <w:rFonts w:ascii="Times New Roman" w:hAnsi="Times New Roman" w:cs="Times New Roman"/>
          <w:sz w:val="26"/>
          <w:szCs w:val="26"/>
        </w:rPr>
        <w:t>рассчитанных с применением метода экономически обоснованных затрат в случае, если 2026 год или 2027 год является первым годом долгосрочного периода регулирования территориальной сетевой организации</w:t>
      </w:r>
      <w:r w:rsidR="00BD1FFD">
        <w:rPr>
          <w:rFonts w:ascii="Times New Roman" w:hAnsi="Times New Roman" w:cs="Times New Roman"/>
          <w:sz w:val="26"/>
          <w:szCs w:val="26"/>
        </w:rPr>
        <w:t>;</w:t>
      </w:r>
    </w:p>
    <w:p w:rsidR="008A4AA2" w:rsidRPr="00554B99" w:rsidRDefault="008A4AA2" w:rsidP="00554B99">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рассчитанных с применением метода экономически обоснованных затрат на 2026 год с учетом индексации на индекс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в случае, если 2027 год является вторым годом долгосрочного периода регулирования территориальной сетевой организации;</w:t>
      </w:r>
    </w:p>
    <w:p w:rsidR="008A4AA2" w:rsidRPr="00554B99" w:rsidRDefault="008A4AA2" w:rsidP="00554B99">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bookmarkStart w:id="1" w:name="Par5"/>
      <w:bookmarkEnd w:id="1"/>
      <w:r w:rsidRPr="00554B99">
        <w:rPr>
          <w:rFonts w:ascii="Times New Roman" w:hAnsi="Times New Roman" w:cs="Times New Roman"/>
          <w:sz w:val="26"/>
          <w:szCs w:val="26"/>
        </w:rPr>
        <w:t>учтенных при установлении тарифов на услуги по передаче электрической энергии на 2025 год и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в случае, если 2026 год и 2027 год являются очередными годами долгосрочного периода регулирования территориальной сетевой организации.</w:t>
      </w:r>
    </w:p>
    <w:p w:rsidR="008A4AA2" w:rsidRPr="00554B99" w:rsidRDefault="008A4AA2" w:rsidP="00554B99">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При определении операционных (подконтрольных) расходов должно соблюдаться условие непревышения удельной величины операционных (подконтрольных) расходов территориальных сетевых организаций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w:t>
      </w:r>
      <w:r w:rsidRPr="00554B99">
        <w:rPr>
          <w:rFonts w:ascii="Times New Roman" w:hAnsi="Times New Roman" w:cs="Times New Roman"/>
          <w:sz w:val="26"/>
          <w:szCs w:val="26"/>
        </w:rPr>
        <w:lastRenderedPageBreak/>
        <w:t>крупнейшей территориальной сетевой организации, в расчете на единицу количества активов, необходимых для осуществления регулируемой деятельности в очередном периоде регулирования.</w:t>
      </w:r>
    </w:p>
    <w:p w:rsidR="00BD02CA" w:rsidRDefault="008A4AA2" w:rsidP="00BD02CA">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На 2028 год и последующие годы операционные (подконтрольные) расходы территориальной сетевой организации определяются с применением эталонов затрат территориальных сетевых организаций.</w:t>
      </w:r>
      <w:r w:rsidR="00BD02CA">
        <w:rPr>
          <w:rFonts w:ascii="Times New Roman" w:hAnsi="Times New Roman" w:cs="Times New Roman"/>
          <w:sz w:val="26"/>
          <w:szCs w:val="26"/>
        </w:rPr>
        <w:t xml:space="preserve"> </w:t>
      </w:r>
    </w:p>
    <w:p w:rsidR="00BD02CA" w:rsidRDefault="008A4AA2" w:rsidP="00BD02CA">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П</w:t>
      </w:r>
      <w:r w:rsidR="000C388E" w:rsidRPr="00554B99">
        <w:rPr>
          <w:rFonts w:ascii="Times New Roman" w:hAnsi="Times New Roman" w:cs="Times New Roman"/>
          <w:sz w:val="26"/>
          <w:szCs w:val="26"/>
        </w:rPr>
        <w:t>омимо применения значений эталонов затрат ТСО, на расходы будут влиять региональный коэффициент, коэффициент учета влияния сроков эксплуатации, коэффициент распределения сетей по территории региона.</w:t>
      </w:r>
      <w:r w:rsidR="00BD02CA">
        <w:rPr>
          <w:rFonts w:ascii="Times New Roman" w:hAnsi="Times New Roman" w:cs="Times New Roman"/>
          <w:sz w:val="26"/>
          <w:szCs w:val="26"/>
        </w:rPr>
        <w:t xml:space="preserve"> </w:t>
      </w:r>
    </w:p>
    <w:p w:rsidR="000C388E" w:rsidRPr="00554B99" w:rsidRDefault="000C388E" w:rsidP="00BD02CA">
      <w:pPr>
        <w:autoSpaceDE w:val="0"/>
        <w:autoSpaceDN w:val="0"/>
        <w:adjustRightInd w:val="0"/>
        <w:spacing w:before="28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Значения эталонов затрат определены для 59 видов оборудования: 52 основного электросетевого и 7 вторичного, которое ранее не учитывалось при регулировании. Также установлены региональные коэффициенты для групп субъектов РФ, которые учитывают климатические и социально-экономические условия деятельности террит</w:t>
      </w:r>
      <w:r w:rsidR="008A4AA2" w:rsidRPr="00554B99">
        <w:rPr>
          <w:rFonts w:ascii="Times New Roman" w:hAnsi="Times New Roman" w:cs="Times New Roman"/>
          <w:sz w:val="26"/>
          <w:szCs w:val="26"/>
        </w:rPr>
        <w:t>ориальных сетевых организаций.</w:t>
      </w:r>
    </w:p>
    <w:p w:rsidR="008728F9" w:rsidRPr="00554B99" w:rsidRDefault="008728F9" w:rsidP="00554B99">
      <w:pPr>
        <w:autoSpaceDE w:val="0"/>
        <w:autoSpaceDN w:val="0"/>
        <w:adjustRightInd w:val="0"/>
        <w:spacing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При этом положения данного  постановления и </w:t>
      </w:r>
      <w:hyperlink r:id="rId4" w:history="1">
        <w:r w:rsidRPr="00554B99">
          <w:rPr>
            <w:rFonts w:ascii="Times New Roman" w:hAnsi="Times New Roman" w:cs="Times New Roman"/>
            <w:sz w:val="26"/>
            <w:szCs w:val="26"/>
          </w:rPr>
          <w:t>изменения</w:t>
        </w:r>
      </w:hyperlink>
      <w:r w:rsidRPr="00554B99">
        <w:rPr>
          <w:rFonts w:ascii="Times New Roman" w:hAnsi="Times New Roman" w:cs="Times New Roman"/>
          <w:sz w:val="26"/>
          <w:szCs w:val="26"/>
        </w:rPr>
        <w:t>, утвержденные настоящим постановлением, в части определения операционных (подконтрольных) расходов территориальных сетевых организаций с применением эталонов затрат территориальных сетевых организаций не распространяются на:</w:t>
      </w:r>
    </w:p>
    <w:p w:rsidR="008728F9" w:rsidRPr="00554B99" w:rsidRDefault="008728F9" w:rsidP="00554B99">
      <w:pPr>
        <w:autoSpaceDE w:val="0"/>
        <w:autoSpaceDN w:val="0"/>
        <w:adjustRightInd w:val="0"/>
        <w:spacing w:before="22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территориальные сетевые организации,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собственником которых является единый хозяйствующий субъект железнодорожного транспорта или дочернее (зависимое) общество такого субъекта, которое владеет инфраструктурой железнодорожного транспорта общего пользования);</w:t>
      </w:r>
    </w:p>
    <w:p w:rsidR="008728F9" w:rsidRPr="00554B99" w:rsidRDefault="008728F9" w:rsidP="00554B99">
      <w:pPr>
        <w:autoSpaceDE w:val="0"/>
        <w:autoSpaceDN w:val="0"/>
        <w:adjustRightInd w:val="0"/>
        <w:spacing w:before="22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территориальные сетевые организации, соответствующие критериям отнесения территориальных сетевых организаций к сетевым организациям, обслуживающим преимущественно одного потребителя, установленным в </w:t>
      </w:r>
      <w:hyperlink r:id="rId5" w:history="1">
        <w:r w:rsidRPr="00554B99">
          <w:rPr>
            <w:rFonts w:ascii="Times New Roman" w:hAnsi="Times New Roman" w:cs="Times New Roman"/>
            <w:sz w:val="26"/>
            <w:szCs w:val="26"/>
          </w:rPr>
          <w:t>приложении N 3</w:t>
        </w:r>
      </w:hyperlink>
      <w:r w:rsidRPr="00554B99">
        <w:rPr>
          <w:rFonts w:ascii="Times New Roman" w:hAnsi="Times New Roman" w:cs="Times New Roman"/>
          <w:sz w:val="26"/>
          <w:szCs w:val="26"/>
        </w:rPr>
        <w:t xml:space="preserve"> к Основам ценообразования в области регулируемых цен (тарифов) в электроэнергетике, </w:t>
      </w:r>
    </w:p>
    <w:p w:rsidR="008728F9" w:rsidRPr="00554B99" w:rsidRDefault="008728F9" w:rsidP="00554B99">
      <w:pPr>
        <w:autoSpaceDE w:val="0"/>
        <w:autoSpaceDN w:val="0"/>
        <w:adjustRightInd w:val="0"/>
        <w:spacing w:before="22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территориальные сетевые организации, оказывающие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r:id="rId6" w:history="1">
        <w:r w:rsidRPr="00554B99">
          <w:rPr>
            <w:rFonts w:ascii="Times New Roman" w:hAnsi="Times New Roman" w:cs="Times New Roman"/>
            <w:sz w:val="26"/>
            <w:szCs w:val="26"/>
          </w:rPr>
          <w:t>Положения</w:t>
        </w:r>
      </w:hyperlink>
      <w:r w:rsidRPr="00554B99">
        <w:rPr>
          <w:rFonts w:ascii="Times New Roman" w:hAnsi="Times New Roman" w:cs="Times New Roman"/>
          <w:sz w:val="26"/>
          <w:szCs w:val="26"/>
        </w:rPr>
        <w:t xml:space="preserve"> об особенностях применения законодательства Российской Федерации в сфере электроэнергетики </w:t>
      </w:r>
    </w:p>
    <w:p w:rsidR="008728F9" w:rsidRPr="00554B99" w:rsidRDefault="008728F9" w:rsidP="00554B99">
      <w:pPr>
        <w:autoSpaceDE w:val="0"/>
        <w:autoSpaceDN w:val="0"/>
        <w:adjustRightInd w:val="0"/>
        <w:spacing w:before="22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территориальные сетевые организации, оказывающие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8728F9" w:rsidRPr="00554B99" w:rsidRDefault="008728F9" w:rsidP="00554B99">
      <w:pPr>
        <w:autoSpaceDE w:val="0"/>
        <w:autoSpaceDN w:val="0"/>
        <w:adjustRightInd w:val="0"/>
        <w:spacing w:before="220" w:after="0" w:line="240" w:lineRule="auto"/>
        <w:ind w:left="-425" w:firstLine="709"/>
        <w:contextualSpacing/>
        <w:jc w:val="both"/>
        <w:rPr>
          <w:rFonts w:ascii="Times New Roman" w:hAnsi="Times New Roman" w:cs="Times New Roman"/>
          <w:sz w:val="26"/>
          <w:szCs w:val="26"/>
        </w:rPr>
      </w:pPr>
      <w:r w:rsidRPr="00554B99">
        <w:rPr>
          <w:rFonts w:ascii="Times New Roman" w:hAnsi="Times New Roman" w:cs="Times New Roman"/>
          <w:sz w:val="26"/>
          <w:szCs w:val="26"/>
        </w:rPr>
        <w:t xml:space="preserve">территориальные сетевые организации, необходимая валовая выручка которых без учета расходов на оплату потерь и оплату услуг других территориальных сетевых организаций на 2025 год составила менее 5 процентов суммарной необходимой валовой выручки территориальных сетевых организаций без учета расходов на оплату потерь, учтенной при установлении единых (котловых) тарифов на услуги по передаче электрической энергии на 2025 год (за исключением территориальных сетевых организаций, собственником которых является единый хозяйствующий субъект </w:t>
      </w:r>
      <w:r w:rsidRPr="00554B99">
        <w:rPr>
          <w:rFonts w:ascii="Times New Roman" w:hAnsi="Times New Roman" w:cs="Times New Roman"/>
          <w:sz w:val="26"/>
          <w:szCs w:val="26"/>
        </w:rPr>
        <w:lastRenderedPageBreak/>
        <w:t>железнодорожного транспорта или дочернее (зависимое) общество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p w:rsidR="0023199E" w:rsidRDefault="0023199E" w:rsidP="00554B99">
      <w:pPr>
        <w:ind w:left="-425" w:firstLine="709"/>
        <w:contextualSpacing/>
        <w:rPr>
          <w:rFonts w:ascii="Times New Roman" w:hAnsi="Times New Roman" w:cs="Times New Roman"/>
          <w:sz w:val="26"/>
          <w:szCs w:val="26"/>
        </w:rPr>
      </w:pPr>
    </w:p>
    <w:p w:rsidR="00BD02CA" w:rsidRPr="00554B99" w:rsidRDefault="00BD02CA" w:rsidP="00BD02CA">
      <w:pPr>
        <w:ind w:left="-425" w:firstLine="709"/>
        <w:contextualSpacing/>
        <w:jc w:val="center"/>
        <w:rPr>
          <w:rFonts w:ascii="Times New Roman" w:hAnsi="Times New Roman" w:cs="Times New Roman"/>
          <w:sz w:val="26"/>
          <w:szCs w:val="26"/>
        </w:rPr>
      </w:pPr>
      <w:r>
        <w:rPr>
          <w:rFonts w:ascii="Times New Roman" w:hAnsi="Times New Roman" w:cs="Times New Roman"/>
          <w:sz w:val="26"/>
          <w:szCs w:val="26"/>
        </w:rPr>
        <w:t>_____________</w:t>
      </w:r>
    </w:p>
    <w:sectPr w:rsidR="00BD02CA" w:rsidRPr="00554B99" w:rsidSect="00554B9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8E"/>
    <w:rsid w:val="000C388E"/>
    <w:rsid w:val="0016203A"/>
    <w:rsid w:val="00163B46"/>
    <w:rsid w:val="0023199E"/>
    <w:rsid w:val="00384BD6"/>
    <w:rsid w:val="003B400B"/>
    <w:rsid w:val="003B4FCC"/>
    <w:rsid w:val="004E0FA8"/>
    <w:rsid w:val="0050305B"/>
    <w:rsid w:val="00554B99"/>
    <w:rsid w:val="005654AB"/>
    <w:rsid w:val="006058D6"/>
    <w:rsid w:val="0071072E"/>
    <w:rsid w:val="008728F9"/>
    <w:rsid w:val="008A4AA2"/>
    <w:rsid w:val="008E6699"/>
    <w:rsid w:val="00913B6B"/>
    <w:rsid w:val="00982C8D"/>
    <w:rsid w:val="009E1C2A"/>
    <w:rsid w:val="00B705CD"/>
    <w:rsid w:val="00BD02CA"/>
    <w:rsid w:val="00BD1FFD"/>
    <w:rsid w:val="00C3537C"/>
    <w:rsid w:val="00C452B1"/>
    <w:rsid w:val="00D859D7"/>
    <w:rsid w:val="00E61A78"/>
    <w:rsid w:val="00F70F3C"/>
    <w:rsid w:val="00FF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54B6"/>
  <w15:docId w15:val="{94D804F2-B4E9-444D-A017-171DBD55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8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6798&amp;dst=100067" TargetMode="External"/><Relationship Id="rId5" Type="http://schemas.openxmlformats.org/officeDocument/2006/relationships/hyperlink" Target="https://login.consultant.ru/link/?req=doc&amp;base=LAW&amp;n=515689&amp;dst=101926" TargetMode="External"/><Relationship Id="rId4" Type="http://schemas.openxmlformats.org/officeDocument/2006/relationships/hyperlink" Target="https://login.consultant.ru/link/?req=doc&amp;base=LAW&amp;n=517307&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Олеся Викторовна</dc:creator>
  <cp:lastModifiedBy>Янькова Виктория Анатольевна</cp:lastModifiedBy>
  <cp:revision>9</cp:revision>
  <dcterms:created xsi:type="dcterms:W3CDTF">2025-11-13T07:12:00Z</dcterms:created>
  <dcterms:modified xsi:type="dcterms:W3CDTF">2025-11-14T08:28:00Z</dcterms:modified>
</cp:coreProperties>
</file>